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2D" w:rsidRDefault="00D35C2D" w:rsidP="00D35C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s-MX"/>
        </w:rPr>
      </w:pPr>
    </w:p>
    <w:p w:rsidR="00D35C2D" w:rsidRDefault="00D35C2D" w:rsidP="00D35C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s-MX"/>
        </w:rPr>
      </w:pPr>
      <w:bookmarkStart w:id="0" w:name="_GoBack"/>
      <w:bookmarkEnd w:id="0"/>
    </w:p>
    <w:p w:rsidR="00D35C2D" w:rsidRDefault="00D35C2D" w:rsidP="00D35C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s-MX"/>
        </w:rPr>
      </w:pPr>
    </w:p>
    <w:p w:rsidR="00D35C2D" w:rsidRPr="00D35C2D" w:rsidRDefault="00D35C2D" w:rsidP="00D35C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D35C2D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MX"/>
        </w:rPr>
        <w:t>Los apartados del Plan Estatal de Desarrollo.</w:t>
      </w:r>
    </w:p>
    <w:p w:rsidR="00D35C2D" w:rsidRPr="00D35C2D" w:rsidRDefault="00D35C2D" w:rsidP="00D35C2D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MX"/>
        </w:rPr>
      </w:pPr>
      <w:r w:rsidRPr="00D35C2D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MX"/>
        </w:rPr>
        <w:t>Plan Estatal de Desarrollo 2013 – 2033</w:t>
      </w:r>
    </w:p>
    <w:p w:rsidR="00D35C2D" w:rsidRPr="00D35C2D" w:rsidRDefault="00D35C2D" w:rsidP="00D35C2D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  <w:r w:rsidRPr="00D35C2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es-MX"/>
        </w:rPr>
        <w:t>Vigencia 2013-2033</w:t>
      </w:r>
    </w:p>
    <w:p w:rsidR="00D35C2D" w:rsidRDefault="00D35C2D" w:rsidP="00D35C2D">
      <w:pPr>
        <w:rPr>
          <w:rFonts w:ascii="Arial" w:hAnsi="Arial" w:cs="Arial"/>
          <w:sz w:val="24"/>
          <w:szCs w:val="24"/>
        </w:rPr>
      </w:pP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Apartado Territorial 711.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T2. Áreas Metropolitanas, página 781.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   Objetivos y estrategias, páginas 790 – 796.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pict>
          <v:rect id="_x0000_i1025" style="width:0;height:.75pt" o:hralign="center" o:hrstd="t" o:hrnoshade="t" o:hr="t" fillcolor="#222" stroked="f"/>
        </w:pic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 Entorno y vida sustentable 55.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3. Cambio climático y energías renovables, página 91.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   Objetivos y estrategias, páginas 98 – 102.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4. Agua y reservas hidrológicas, página 105.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   Objetivos y estrategias, páginas 112 – 115.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 xml:space="preserve">5. Planeación urbana y territorial, página </w:t>
      </w:r>
      <w:proofErr w:type="gramStart"/>
      <w:r w:rsidRPr="00D35C2D">
        <w:rPr>
          <w:rFonts w:ascii="Arial" w:hAnsi="Arial" w:cs="Arial"/>
          <w:sz w:val="24"/>
          <w:szCs w:val="24"/>
        </w:rPr>
        <w:t>119 .</w:t>
      </w:r>
      <w:proofErr w:type="gramEnd"/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   Objetivos y estrategias, páginas 130 – 133.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pict>
          <v:rect id="_x0000_i1026" style="width:0;height:.75pt" o:hralign="center" o:hrstd="t" o:hrnoshade="t" o:hr="t" fillcolor="#222" stroked="f"/>
        </w:pic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Economía próspera e incluyente 155.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11. Competitividad y crecimiento económico, página 245.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   Objetivos y estrategias, páginas 272 – 276.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pict>
          <v:rect id="_x0000_i1027" style="width:0;height:.75pt" o:hralign="center" o:hrstd="t" o:hrnoshade="t" o:hr="t" fillcolor="#222" stroked="f"/>
        </w:pic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Equidad de oportunidades 309.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14. Seguridad social, página 315.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   Objetivos y estrategias, páginas 328 – 331.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16. Educación, página 349.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   Objetivos y estrategias, páginas 363 – 367.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pict>
          <v:rect id="_x0000_i1028" style="width:0;height:.75pt" o:hralign="center" o:hrstd="t" o:hrnoshade="t" o:hr="t" fillcolor="#222" stroked="f"/>
        </w:pict>
      </w:r>
    </w:p>
    <w:p w:rsidR="00D35C2D" w:rsidRDefault="00D35C2D" w:rsidP="00D35C2D">
      <w:pPr>
        <w:rPr>
          <w:rFonts w:ascii="Arial" w:hAnsi="Arial" w:cs="Arial"/>
          <w:sz w:val="24"/>
          <w:szCs w:val="24"/>
        </w:rPr>
      </w:pPr>
    </w:p>
    <w:p w:rsidR="00D35C2D" w:rsidRDefault="00D35C2D" w:rsidP="00D35C2D">
      <w:pPr>
        <w:rPr>
          <w:rFonts w:ascii="Arial" w:hAnsi="Arial" w:cs="Arial"/>
          <w:sz w:val="24"/>
          <w:szCs w:val="24"/>
        </w:rPr>
      </w:pPr>
    </w:p>
    <w:p w:rsidR="00D35C2D" w:rsidRDefault="00D35C2D" w:rsidP="00D35C2D">
      <w:pPr>
        <w:rPr>
          <w:rFonts w:ascii="Arial" w:hAnsi="Arial" w:cs="Arial"/>
          <w:sz w:val="24"/>
          <w:szCs w:val="24"/>
        </w:rPr>
      </w:pP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Comunidad y calidad de vida 447.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22. Desarrollo cultural y creativo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   Objetivos y estrategias, páginas 491 – 497.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pict>
          <v:rect id="_x0000_i1029" style="width:0;height:.75pt" o:hralign="center" o:hrstd="t" o:hrnoshade="t" o:hr="t" fillcolor="#222" stroked="f"/>
        </w:pic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Garantía de derechos y libertad 517.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27. Protección civil, página 567.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   Objetivos y estrategias, páginas 572 – 575.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pict>
          <v:rect id="_x0000_i1030" style="width:0;height:.75pt" o:hralign="center" o:hrstd="t" o:hrnoshade="t" o:hr="t" fillcolor="#222" stroked="f"/>
        </w:pic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Instituciones confiables y efectivas 557.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31. Administración pública, página 625.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   Objetivo y estrategias, páginas 643 – 649.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pict>
          <v:rect id="_x0000_i1031" style="width:0;height:.75pt" o:hralign="center" o:hrstd="t" o:hrnoshade="t" o:hr="t" fillcolor="#222" stroked="f"/>
        </w:pic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Temas transversales 667.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I. Igualdad de género, página 681.</w:t>
      </w:r>
    </w:p>
    <w:p w:rsidR="00D35C2D" w:rsidRPr="00D35C2D" w:rsidRDefault="00D35C2D" w:rsidP="00D35C2D">
      <w:pPr>
        <w:rPr>
          <w:rFonts w:ascii="Arial" w:hAnsi="Arial" w:cs="Arial"/>
          <w:sz w:val="24"/>
          <w:szCs w:val="24"/>
        </w:rPr>
      </w:pPr>
      <w:r w:rsidRPr="00D35C2D">
        <w:rPr>
          <w:rFonts w:ascii="Arial" w:hAnsi="Arial" w:cs="Arial"/>
          <w:sz w:val="24"/>
          <w:szCs w:val="24"/>
        </w:rPr>
        <w:t>   Objetivo y estrategias, páginas 690 – 696.</w:t>
      </w:r>
    </w:p>
    <w:p w:rsidR="00464D1F" w:rsidRPr="00D35C2D" w:rsidRDefault="00464D1F" w:rsidP="00D35C2D">
      <w:pPr>
        <w:rPr>
          <w:rFonts w:ascii="Arial" w:hAnsi="Arial" w:cs="Arial"/>
          <w:sz w:val="24"/>
          <w:szCs w:val="24"/>
        </w:rPr>
      </w:pPr>
    </w:p>
    <w:sectPr w:rsidR="00464D1F" w:rsidRPr="00D35C2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86" w:rsidRDefault="00FB0986" w:rsidP="00D35C2D">
      <w:pPr>
        <w:spacing w:after="0" w:line="240" w:lineRule="auto"/>
      </w:pPr>
      <w:r>
        <w:separator/>
      </w:r>
    </w:p>
  </w:endnote>
  <w:endnote w:type="continuationSeparator" w:id="0">
    <w:p w:rsidR="00FB0986" w:rsidRDefault="00FB0986" w:rsidP="00D3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86" w:rsidRDefault="00FB0986" w:rsidP="00D35C2D">
      <w:pPr>
        <w:spacing w:after="0" w:line="240" w:lineRule="auto"/>
      </w:pPr>
      <w:r>
        <w:separator/>
      </w:r>
    </w:p>
  </w:footnote>
  <w:footnote w:type="continuationSeparator" w:id="0">
    <w:p w:rsidR="00FB0986" w:rsidRDefault="00FB0986" w:rsidP="00D3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2D" w:rsidRDefault="00D35C2D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-99060</wp:posOffset>
          </wp:positionV>
          <wp:extent cx="1616825" cy="764771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F CABO CORRIEN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825" cy="764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5C2D" w:rsidRDefault="00D35C2D">
    <w:pPr>
      <w:pStyle w:val="Encabezado"/>
      <w:rPr>
        <w:noProof/>
        <w:lang w:eastAsia="es-MX"/>
      </w:rPr>
    </w:pPr>
  </w:p>
  <w:p w:rsidR="00D35C2D" w:rsidRDefault="00D35C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2D"/>
    <w:rsid w:val="00464D1F"/>
    <w:rsid w:val="00D35C2D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94D64-C6F4-40A2-8168-1E98BFFB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C2D"/>
  </w:style>
  <w:style w:type="paragraph" w:styleId="Piedepgina">
    <w:name w:val="footer"/>
    <w:basedOn w:val="Normal"/>
    <w:link w:val="PiedepginaCar"/>
    <w:uiPriority w:val="99"/>
    <w:unhideWhenUsed/>
    <w:rsid w:val="00D35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A. GALVÁN IBARRA</dc:creator>
  <cp:keywords/>
  <dc:description/>
  <cp:lastModifiedBy>RICARDO A. GALVÁN IBARRA</cp:lastModifiedBy>
  <cp:revision>1</cp:revision>
  <dcterms:created xsi:type="dcterms:W3CDTF">2017-04-05T17:18:00Z</dcterms:created>
  <dcterms:modified xsi:type="dcterms:W3CDTF">2017-04-05T17:20:00Z</dcterms:modified>
</cp:coreProperties>
</file>